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3" w:rsidRPr="009E6E84" w:rsidRDefault="001736C9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REPUBLIKA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SRBIJA</w:t>
      </w:r>
    </w:p>
    <w:p w:rsidR="00C36733" w:rsidRPr="009E6E84" w:rsidRDefault="001736C9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NARODNA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SKUPŠTINA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C36733" w:rsidRPr="009E6E84" w:rsidRDefault="001736C9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privredu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regionalni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razvoj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C36733" w:rsidRPr="009E6E84" w:rsidRDefault="001736C9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trgovinu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turizam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energetiku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06-2/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502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-15</w:t>
      </w:r>
    </w:p>
    <w:p w:rsidR="00C36733" w:rsidRPr="009E6E84" w:rsidRDefault="00097F2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22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februar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58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</w:p>
    <w:p w:rsidR="00C36733" w:rsidRPr="009E6E84" w:rsidRDefault="001736C9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B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e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r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d</w:t>
      </w:r>
    </w:p>
    <w:p w:rsidR="00C36733" w:rsidRPr="009E6E84" w:rsidRDefault="000625C8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6733" w:rsidRPr="009E6E84" w:rsidRDefault="000625C8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6733" w:rsidRPr="009E6E84" w:rsidRDefault="001736C9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ZAPISNIK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35.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PRIVREDU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REGIONALNI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RAZVOJ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TRGOVINU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TURIZAM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ENERGETIKU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ODRŽANE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DECEMBRA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2015.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GODINE</w:t>
      </w:r>
    </w:p>
    <w:p w:rsidR="00C36733" w:rsidRPr="009E6E84" w:rsidRDefault="000625C8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počela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časova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minuta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B70" w:rsidRPr="005F06D2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Sednicom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predsedavala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Aleksandra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predsednik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B70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Pored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predsednika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prisustvovali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članovi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Dragoljub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Zindović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Vladan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Milošević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Radmilo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Kostić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Đorđe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Čabarkapa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Goran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Ćirić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Vladimir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Marinković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Dejan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Čapo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053C1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prisustvovali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zamenici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članova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Miloš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Tošanić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zamenik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Zorana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Pralice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Milosav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Milojević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zamenik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Dragoljuba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Zindovića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Goran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Vukadinović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zamenik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Jelene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Mijatović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Nikola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Jolović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zamenik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Aleksandra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Jovičića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Slobodan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zamenik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Olivere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Pauljeskić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Dragan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Jovanović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zamenik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Mladena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Grujića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nisu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prisustvovali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članovi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Zoran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Pralica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Dragomir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Jelena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Mijatović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Aleksandar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Jovičić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Novica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Tončev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Ivan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Mladen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Grujić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Imamović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A0769" w:rsidRPr="009E6E84" w:rsidRDefault="0058063F" w:rsidP="00C36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poziv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predsednika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prisustvovali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Mirjana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Filipović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državni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Siniša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Tanacković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Jelena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Simović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pomoćnici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Milica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Zorić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Biljana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Ramić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viši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savetnici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Dušan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samostalni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savetnik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36733" w:rsidRPr="009E6E84" w:rsidRDefault="000625C8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predlog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predsednika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većinom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glasova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utvrdio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sledeći</w:t>
      </w:r>
    </w:p>
    <w:p w:rsidR="00C36733" w:rsidRPr="009E6E84" w:rsidRDefault="000625C8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6733" w:rsidRPr="009E6E84" w:rsidRDefault="001736C9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</w:p>
    <w:p w:rsidR="00376CC7" w:rsidRPr="009E6E84" w:rsidRDefault="000625C8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3AF0" w:rsidRPr="00AE3AF0" w:rsidRDefault="0058063F" w:rsidP="00AE3AF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F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rudarstvu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geološkim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istraživanjima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podnela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Vlada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310-2925/15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E3AF0" w:rsidRPr="00AE3AF0" w:rsidRDefault="000625C8" w:rsidP="00AE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AF0" w:rsidRPr="00AE3AF0" w:rsidRDefault="0058063F" w:rsidP="00AE3AF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strategije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razvoja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energetike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projekcijama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2030.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podnela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Vlada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312-1573/15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juna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1796E" w:rsidRPr="009E6E84" w:rsidRDefault="000625C8" w:rsidP="007A281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277B" w:rsidRPr="002F2B2C" w:rsidRDefault="0058063F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Prva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tačka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dnevnog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Predloga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zakona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rudarstvu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geološkim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istraživanjima</w:t>
      </w:r>
    </w:p>
    <w:p w:rsidR="00A24F8F" w:rsidRPr="009E6E84" w:rsidRDefault="000625C8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64298" w:rsidRPr="009E6E84" w:rsidRDefault="0058063F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razmotrio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Predlog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rudarstvu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geološkim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istraživanjima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načelu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podneo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Izveštaj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Narodnoj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skupštini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31EC1" w:rsidRPr="009E6E84" w:rsidRDefault="0058063F" w:rsidP="007A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uvodnim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napomenama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Mirjana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Filipović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državni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istakla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rudarstvu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pisan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prvenstveno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dopuna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odlučeno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obzirom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više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50%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izmena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rudarstvu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pisan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skladu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relevantnim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subjektima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usaglašen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relevantnim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činiocima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Srbiji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zakonskim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obavezama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regulativama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preuzela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pristupanja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Evropskoj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njega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novina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odnose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određivanje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strateških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sirovina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način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mogu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iskorišćene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istaknuta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uloga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značaj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Geološkog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zavoda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finansira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budžeta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značaju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moći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obavlja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određene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vrste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geoloških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istraživanja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omogućiti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dodatne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prihode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rudarstvu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regulisane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tiču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segmenata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geoloških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istraživanja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Određene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vrste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eksploatacionih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rezervi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Mirjana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Filipović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istakla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izdavanje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postignut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konsenzus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između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stručne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javnosti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najjednostavnije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ostaviti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nivou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ministarstva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D6BFE" w:rsidRDefault="0058063F" w:rsidP="00F17706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raspravi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narodni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poslanici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razgovarali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oduzimanju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nadležnosti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lokalnoj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samoupravi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lokalne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samouprave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mogle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određene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saglasnosti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eksploatacije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svega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ostalog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Sugerisalo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ministarstvo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išlo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jačanje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kapaciteta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lokalne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samouprave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Uvođenje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licenci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ocenjeno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dobra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stvar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Takođe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zamolili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ministarstvo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uzme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razmatranje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E06D2" w:rsidRPr="009E6E84" w:rsidRDefault="0058063F" w:rsidP="00F17706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Povodom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diskusije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rečeno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iznos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našem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7%.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Napomenuto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Ministarstvo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finansija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prepoznalo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mestu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potrebno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naglasiti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okupiti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elemente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tiču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investitora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odnosi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rentu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Dakle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finansija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tiče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vidova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troškova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naknada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investitor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dođe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Srbiju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tiče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odnosi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lokalnu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samoupravu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izdavanje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odobrenja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Ministarstvo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smatra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povezan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lokalnom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samoupravom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zbog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vezanosti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tiče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urbanističkih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planova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želeli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lokalnoj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samoupravi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oduzmu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nešto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slično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prepoznato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zbog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čestih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žalbi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dovoljno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kapaciteta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sprovođenje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potrebnih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poslova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naglašeno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predlogom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apsolutno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ništa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oduzeto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nadležnosti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opština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tiče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Opštine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preuzmu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nadležnosti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tiču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nekih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vidova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istraživanja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vraćale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predmete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dolazilo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nepotrebnog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produženja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A3983" w:rsidRPr="00F54436" w:rsidRDefault="0058063F" w:rsidP="00F5443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E6E84">
        <w:rPr>
          <w:rFonts w:ascii="Times New Roman" w:hAnsi="Times New Roman" w:cs="Times New Roman"/>
          <w:color w:val="000000" w:themeColor="text1"/>
          <w:sz w:val="24"/>
        </w:rPr>
        <w:tab/>
      </w:r>
      <w:r w:rsidR="001736C9">
        <w:rPr>
          <w:rFonts w:ascii="Times New Roman" w:hAnsi="Times New Roman" w:cs="Times New Roman"/>
          <w:color w:val="000000" w:themeColor="text1"/>
          <w:sz w:val="24"/>
        </w:rPr>
        <w:t>Odbor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je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u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skladu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sa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članom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155.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stav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2.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Poslovnika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Narodne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skupštine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odlučio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većinom</w:t>
      </w:r>
      <w:r w:rsidRPr="0010597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glasova</w:t>
      </w:r>
      <w:r w:rsidRPr="0010597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da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predloži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Narodnoj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skupštini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da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prihvati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Predlog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zakona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o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rudarstvu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geološkim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istraživanjima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načelu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6498E" w:rsidRPr="00F54436" w:rsidRDefault="0058063F" w:rsidP="006A398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diskusiji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učestvovali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Aleksandra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Tomić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Dragan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Jovanović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Mirjana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Filipović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Dušan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A3983" w:rsidRPr="009E6E84" w:rsidRDefault="0058063F" w:rsidP="006A398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hAnsi="Times New Roman" w:cs="Times New Roman"/>
          <w:color w:val="000000" w:themeColor="text1"/>
          <w:sz w:val="24"/>
        </w:rPr>
        <w:tab/>
      </w:r>
      <w:r w:rsidR="001736C9">
        <w:rPr>
          <w:rFonts w:ascii="Times New Roman" w:hAnsi="Times New Roman" w:cs="Times New Roman"/>
          <w:color w:val="000000" w:themeColor="text1"/>
          <w:sz w:val="24"/>
        </w:rPr>
        <w:t>Za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izvestioca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Odbora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na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sednici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Narodne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skupštine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određena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je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Aleksandra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Tomić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predsednik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736C9">
        <w:rPr>
          <w:rFonts w:ascii="Times New Roman" w:hAnsi="Times New Roman" w:cs="Times New Roman"/>
          <w:color w:val="000000" w:themeColor="text1"/>
          <w:sz w:val="24"/>
        </w:rPr>
        <w:t>Odbora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A6D12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549BA" w:rsidRDefault="000625C8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2A94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Druga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tačka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dnevnog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Predloga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strategije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razvoja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energetike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Republike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Srbije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2025.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projekcijama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 2030. </w:t>
      </w:r>
      <w:r w:rsidR="001736C9"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</w:p>
    <w:p w:rsidR="000C0252" w:rsidRDefault="000625C8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52" w:rsidRDefault="000625C8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D47" w:rsidRPr="000C0252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razmotrio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strategije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razvoja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energetike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projekcijama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2030.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načelu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pojedinostima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C0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D47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1736C9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uvodnim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napomenama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Mirjana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Filipović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rudarstva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Strategija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obuhvata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sastavne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elemente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projekciju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trebalo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izgleda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razvijena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energetika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Uzete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obzir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obaveze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Ugovora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osnivanju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Energetske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zajednice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direktiva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unije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posebno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obnovljivih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izvora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Definisani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potencijali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celokupnog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sektora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projekcije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potrošnje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strateški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pravci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delovanja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svaku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energetsku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oblast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Strategijom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sagledane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mogućnosti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proširenja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kapaciteta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korišćenje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rudnog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bogatstva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lignita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poboljšanja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energetske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efikasnosti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pravci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smanjenja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energetske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zavisnosti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preuzetim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obavezama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direktiva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unije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Poseban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značaj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posvećen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preuzetim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obavezama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obaveza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ispunjavanja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cilja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27%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ukupne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finalne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potrošnje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proizvedeno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obnovljivih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izvora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godini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D20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informisao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javnoj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debati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Predlogu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strategije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razvoja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energetike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projekcijama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2030.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koju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septembra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održao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Parlamentarni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forum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energetsku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politiku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586C" w:rsidRPr="009E6E84" w:rsidRDefault="0058063F" w:rsidP="00AF586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diskusiji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narodni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poslanici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postavili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pitanja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izneli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stavove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mišljenje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predloge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sugestije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Postavljena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pitanja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AF586C" w:rsidRDefault="0058063F" w:rsidP="00AF586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kakva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situacija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vremenski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akcionih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planova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detaljnih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ciljeva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izrađeni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907EF" w:rsidRDefault="0058063F" w:rsidP="00AF586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definisati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konkretno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realizacije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interkonekcije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Makedonijom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Hrvatskom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Bugarskom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900F2" w:rsidRDefault="0058063F" w:rsidP="00AF586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restrukturiranje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Srbijagasa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planira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završava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F51A2" w:rsidRDefault="0058063F" w:rsidP="00AF586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Povodom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diskusije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rečeno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raspisan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tender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završava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vezan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prostorne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planove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regulacije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vezane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interkonekciju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Bugarskom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Intenzivirani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razgovori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Evropskom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komisijom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Kancelarijom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evropske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integracijei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način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finansiranja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celokupnog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Urađen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detaljan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izvođeno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kojoj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Ostalo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Evropskom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komisijom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dogovori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kancelarijom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finansiran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sredstava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2016.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2017.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Takođe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postoje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najave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Istaknuto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Vladi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restrukturiranja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Srbijagasa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“. „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Srbijagas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osnovao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kompanije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kompanija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bavi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distribucijom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druga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kompanija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bavi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transportom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kompanije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upisane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počele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svojim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72AC0" w:rsidRDefault="000625C8" w:rsidP="00AF586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841AD" w:rsidRPr="00BD7199" w:rsidRDefault="000625C8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2974" w:rsidRDefault="0058063F" w:rsidP="0046297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462974" w:rsidRPr="00462974" w:rsidRDefault="000625C8" w:rsidP="0046297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974" w:rsidRDefault="001736C9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80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58063F">
        <w:rPr>
          <w:rFonts w:ascii="Times New Roman" w:hAnsi="Times New Roman" w:cs="Times New Roman"/>
          <w:sz w:val="24"/>
          <w:szCs w:val="24"/>
        </w:rPr>
        <w:t xml:space="preserve"> 155.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58063F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58063F">
        <w:rPr>
          <w:rFonts w:ascii="Times New Roman" w:hAnsi="Times New Roman" w:cs="Times New Roman"/>
          <w:sz w:val="24"/>
          <w:szCs w:val="24"/>
        </w:rPr>
        <w:t xml:space="preserve"> 191.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580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strategije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energetike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8063F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projekcijama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8063F">
        <w:rPr>
          <w:rFonts w:ascii="Times New Roman" w:hAnsi="Times New Roman" w:cs="Times New Roman"/>
          <w:sz w:val="24"/>
          <w:szCs w:val="24"/>
        </w:rPr>
        <w:t xml:space="preserve"> 2030.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58063F" w:rsidRPr="00A27AB7">
        <w:rPr>
          <w:rFonts w:ascii="Times New Roman" w:hAnsi="Times New Roman" w:cs="Times New Roman"/>
          <w:sz w:val="24"/>
          <w:szCs w:val="24"/>
        </w:rPr>
        <w:t>.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C0" w:rsidRDefault="000625C8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72AC0" w:rsidRDefault="000625C8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72AC0" w:rsidRDefault="000625C8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72AC0" w:rsidRDefault="000625C8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62974" w:rsidRDefault="000625C8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974" w:rsidRDefault="0058063F" w:rsidP="00462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462974" w:rsidRPr="004E495A" w:rsidRDefault="000625C8" w:rsidP="00462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974" w:rsidRDefault="001736C9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Odbor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164.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58063F">
        <w:rPr>
          <w:rFonts w:ascii="Times New Roman" w:hAnsi="Times New Roman" w:cs="Times New Roman"/>
          <w:sz w:val="24"/>
          <w:szCs w:val="24"/>
        </w:rPr>
        <w:t xml:space="preserve"> 191.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podnete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strategije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energetike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8063F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projekcijama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8063F">
        <w:rPr>
          <w:rFonts w:ascii="Times New Roman" w:hAnsi="Times New Roman" w:cs="Times New Roman"/>
          <w:sz w:val="24"/>
          <w:szCs w:val="24"/>
        </w:rPr>
        <w:t xml:space="preserve"> 2030.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58063F" w:rsidRPr="00A27AB7">
        <w:rPr>
          <w:rFonts w:ascii="Times New Roman" w:hAnsi="Times New Roman" w:cs="Times New Roman"/>
          <w:sz w:val="24"/>
          <w:szCs w:val="24"/>
        </w:rPr>
        <w:t>.</w:t>
      </w:r>
      <w:r w:rsidR="00580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74" w:rsidRPr="0029105A" w:rsidRDefault="000625C8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974" w:rsidRPr="00225DC3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6C9">
        <w:rPr>
          <w:rFonts w:ascii="Times New Roman" w:hAnsi="Times New Roman" w:cs="Times New Roman"/>
          <w:sz w:val="24"/>
          <w:szCs w:val="24"/>
        </w:rPr>
        <w:t>Odbor</w:t>
      </w:r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je</w:t>
      </w:r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odlučio</w:t>
      </w:r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da</w:t>
      </w:r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predloži</w:t>
      </w:r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Narodnoj</w:t>
      </w:r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skupštini</w:t>
      </w:r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b/>
          <w:sz w:val="24"/>
          <w:szCs w:val="24"/>
        </w:rPr>
        <w:t>da</w:t>
      </w:r>
      <w:r w:rsidRPr="00291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b/>
          <w:sz w:val="24"/>
          <w:szCs w:val="24"/>
        </w:rPr>
        <w:t>prihvati</w:t>
      </w:r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amandman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tačku</w:t>
      </w:r>
      <w:r w:rsidRPr="00225DC3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koji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su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zajedno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podneli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narodni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poslanici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Nenad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Čanak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Bojan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Kostreš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Olena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Papuga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Nada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Stojšić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Čapo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974" w:rsidRPr="0029105A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74" w:rsidRDefault="001736C9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r w:rsidR="0058063F" w:rsidRPr="002910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odbije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sledeće</w:t>
      </w:r>
      <w:r w:rsidR="0058063F" w:rsidRPr="002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58063F" w:rsidRPr="0029105A">
        <w:rPr>
          <w:rFonts w:ascii="Times New Roman" w:hAnsi="Times New Roman" w:cs="Times New Roman"/>
          <w:sz w:val="24"/>
          <w:szCs w:val="24"/>
        </w:rPr>
        <w:t>:</w:t>
      </w:r>
    </w:p>
    <w:p w:rsidR="00462974" w:rsidRPr="00225DC3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D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tačku</w:t>
      </w:r>
      <w:r w:rsidRPr="00225DC3">
        <w:rPr>
          <w:rFonts w:ascii="Times New Roman" w:hAnsi="Times New Roman" w:cs="Times New Roman"/>
          <w:sz w:val="24"/>
          <w:szCs w:val="24"/>
        </w:rPr>
        <w:t xml:space="preserve"> 2.2, </w:t>
      </w:r>
      <w:r w:rsidR="001736C9">
        <w:rPr>
          <w:rFonts w:ascii="Times New Roman" w:hAnsi="Times New Roman" w:cs="Times New Roman"/>
          <w:sz w:val="24"/>
          <w:szCs w:val="24"/>
        </w:rPr>
        <w:t>koji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su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zajedno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podneli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narodni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poslanici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Nenad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Čanak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Bojan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Kostreš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Olena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Papuga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Nada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Lazić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Đorđe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Stojšić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Dejan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Čapo</w:t>
      </w:r>
      <w:r w:rsidRPr="00225DC3">
        <w:rPr>
          <w:rFonts w:ascii="Times New Roman" w:hAnsi="Times New Roman" w:cs="Times New Roman"/>
          <w:sz w:val="24"/>
          <w:szCs w:val="24"/>
        </w:rPr>
        <w:t>;</w:t>
      </w:r>
    </w:p>
    <w:p w:rsidR="00462974" w:rsidRPr="00225DC3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D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tačku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koji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su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zajedno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podneli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narodni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poslanici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Nenad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Čanak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Bojan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Kostreš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Olena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Papuga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Nada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Lazić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Đorđe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Stojšić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Dejan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Čapo</w:t>
      </w:r>
      <w:r w:rsidRPr="00225DC3">
        <w:rPr>
          <w:rFonts w:ascii="Times New Roman" w:hAnsi="Times New Roman" w:cs="Times New Roman"/>
          <w:sz w:val="24"/>
          <w:szCs w:val="24"/>
        </w:rPr>
        <w:t>;</w:t>
      </w:r>
    </w:p>
    <w:p w:rsidR="00462974" w:rsidRPr="00225DC3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D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tačku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5DC3">
        <w:rPr>
          <w:rFonts w:ascii="Times New Roman" w:hAnsi="Times New Roman" w:cs="Times New Roman"/>
          <w:sz w:val="24"/>
          <w:szCs w:val="24"/>
        </w:rPr>
        <w:t xml:space="preserve">.2, </w:t>
      </w:r>
      <w:r w:rsidR="001736C9">
        <w:rPr>
          <w:rFonts w:ascii="Times New Roman" w:hAnsi="Times New Roman" w:cs="Times New Roman"/>
          <w:sz w:val="24"/>
          <w:szCs w:val="24"/>
        </w:rPr>
        <w:t>koji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su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zajedno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podneli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narodni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poslanici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Nenad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Čanak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Bojan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Kostreš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Olena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Papuga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Nada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Lazić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Đorđe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Stojšić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Dejan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Čapo</w:t>
      </w:r>
      <w:r w:rsidRPr="00225DC3">
        <w:rPr>
          <w:rFonts w:ascii="Times New Roman" w:hAnsi="Times New Roman" w:cs="Times New Roman"/>
          <w:sz w:val="24"/>
          <w:szCs w:val="24"/>
        </w:rPr>
        <w:t>;</w:t>
      </w:r>
    </w:p>
    <w:p w:rsidR="00462974" w:rsidRPr="00225DC3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D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tačku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5D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koji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su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zajedno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podneli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narodni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poslanici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Nenad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Čanak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Bojan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Kostreš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Olena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Papuga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Nada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Lazić</w:t>
      </w:r>
      <w:r w:rsidRPr="00225DC3"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Đorđe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Stojšić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i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Dejan</w:t>
      </w:r>
      <w:r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Čapo</w:t>
      </w:r>
      <w:r w:rsidRPr="00225DC3">
        <w:rPr>
          <w:rFonts w:ascii="Times New Roman" w:hAnsi="Times New Roman" w:cs="Times New Roman"/>
          <w:sz w:val="24"/>
          <w:szCs w:val="24"/>
        </w:rPr>
        <w:t>;</w:t>
      </w:r>
    </w:p>
    <w:p w:rsidR="00462974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6C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tačku</w:t>
      </w:r>
      <w:r>
        <w:rPr>
          <w:rFonts w:ascii="Times New Roman" w:hAnsi="Times New Roman" w:cs="Times New Roman"/>
          <w:sz w:val="24"/>
          <w:szCs w:val="24"/>
        </w:rPr>
        <w:t xml:space="preserve"> 5.5. </w:t>
      </w:r>
      <w:r w:rsidR="001736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5.6, </w:t>
      </w:r>
      <w:r w:rsidR="001736C9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Bojan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Kostreš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Stojšić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Čapo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974" w:rsidRPr="00462974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6C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diskusiji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učestvovali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Tomić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Marinković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Mirjana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Filipović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974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6C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izvestioc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736C9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određena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Tomić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36C9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C73" w:rsidRPr="009E6E84" w:rsidRDefault="000625C8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DAB" w:rsidRPr="003353F8" w:rsidRDefault="0058063F" w:rsidP="00A0742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zaključena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05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5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5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minuta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36733" w:rsidRPr="009E6E84" w:rsidRDefault="0058063F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Sastavni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deo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zapisnika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čini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obrađeni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tonski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snimak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sednice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6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43FC3" w:rsidRDefault="000625C8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0C73" w:rsidRDefault="000625C8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5B3F" w:rsidRPr="009E6E84" w:rsidRDefault="000625C8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43FC3" w:rsidRPr="009E6E84" w:rsidRDefault="000625C8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3429C8" w:rsidTr="00C36733">
        <w:tc>
          <w:tcPr>
            <w:tcW w:w="4788" w:type="dxa"/>
          </w:tcPr>
          <w:p w:rsidR="00C36733" w:rsidRPr="009E6E84" w:rsidRDefault="001736C9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SEKRETAR</w:t>
            </w:r>
          </w:p>
          <w:p w:rsidR="00C36733" w:rsidRPr="009E6E84" w:rsidRDefault="000625C8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6733" w:rsidRPr="009E6E84" w:rsidRDefault="001736C9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Dušan</w:t>
            </w:r>
            <w:r w:rsidR="0058063F" w:rsidRPr="009E6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Lazić</w:t>
            </w:r>
          </w:p>
        </w:tc>
        <w:tc>
          <w:tcPr>
            <w:tcW w:w="4788" w:type="dxa"/>
          </w:tcPr>
          <w:p w:rsidR="00C36733" w:rsidRPr="009E6E84" w:rsidRDefault="0058063F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173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PREDSEDNIK</w:t>
            </w:r>
          </w:p>
          <w:p w:rsidR="00C36733" w:rsidRPr="009E6E84" w:rsidRDefault="000625C8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6733" w:rsidRPr="009E6E84" w:rsidRDefault="0058063F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173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r w:rsidRPr="009E6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3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</w:t>
            </w:r>
            <w:r w:rsidRPr="009E6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3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Tomić</w:t>
            </w:r>
          </w:p>
        </w:tc>
      </w:tr>
    </w:tbl>
    <w:p w:rsidR="00C36733" w:rsidRPr="009E6E84" w:rsidRDefault="000625C8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C36733" w:rsidRPr="009E6E84" w:rsidSect="00D51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C8" w:rsidRDefault="000625C8">
      <w:pPr>
        <w:spacing w:after="0" w:line="240" w:lineRule="auto"/>
      </w:pPr>
      <w:r>
        <w:separator/>
      </w:r>
    </w:p>
  </w:endnote>
  <w:endnote w:type="continuationSeparator" w:id="0">
    <w:p w:rsidR="000625C8" w:rsidRDefault="0006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C9" w:rsidRDefault="001736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C9" w:rsidRDefault="001736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C9" w:rsidRDefault="001736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C8" w:rsidRDefault="000625C8">
      <w:pPr>
        <w:spacing w:after="0" w:line="240" w:lineRule="auto"/>
      </w:pPr>
      <w:r>
        <w:separator/>
      </w:r>
    </w:p>
  </w:footnote>
  <w:footnote w:type="continuationSeparator" w:id="0">
    <w:p w:rsidR="000625C8" w:rsidRDefault="0006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C9" w:rsidRDefault="001736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8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47E" w:rsidRDefault="005806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6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147E" w:rsidRDefault="000625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C9" w:rsidRDefault="001736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F11"/>
    <w:multiLevelType w:val="hybridMultilevel"/>
    <w:tmpl w:val="E892DDD8"/>
    <w:lvl w:ilvl="0" w:tplc="06820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F23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8F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6F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2B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C9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E9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22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E87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942F0"/>
    <w:multiLevelType w:val="hybridMultilevel"/>
    <w:tmpl w:val="AD6EEF5E"/>
    <w:lvl w:ilvl="0" w:tplc="C6042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206FD90" w:tentative="1">
      <w:start w:val="1"/>
      <w:numFmt w:val="lowerLetter"/>
      <w:lvlText w:val="%2."/>
      <w:lvlJc w:val="left"/>
      <w:pPr>
        <w:ind w:left="2520" w:hanging="360"/>
      </w:pPr>
    </w:lvl>
    <w:lvl w:ilvl="2" w:tplc="08E0BCB4" w:tentative="1">
      <w:start w:val="1"/>
      <w:numFmt w:val="lowerRoman"/>
      <w:lvlText w:val="%3."/>
      <w:lvlJc w:val="right"/>
      <w:pPr>
        <w:ind w:left="3240" w:hanging="180"/>
      </w:pPr>
    </w:lvl>
    <w:lvl w:ilvl="3" w:tplc="E71A6CBA" w:tentative="1">
      <w:start w:val="1"/>
      <w:numFmt w:val="decimal"/>
      <w:lvlText w:val="%4."/>
      <w:lvlJc w:val="left"/>
      <w:pPr>
        <w:ind w:left="3960" w:hanging="360"/>
      </w:pPr>
    </w:lvl>
    <w:lvl w:ilvl="4" w:tplc="B7AE12FE" w:tentative="1">
      <w:start w:val="1"/>
      <w:numFmt w:val="lowerLetter"/>
      <w:lvlText w:val="%5."/>
      <w:lvlJc w:val="left"/>
      <w:pPr>
        <w:ind w:left="4680" w:hanging="360"/>
      </w:pPr>
    </w:lvl>
    <w:lvl w:ilvl="5" w:tplc="1EC83936" w:tentative="1">
      <w:start w:val="1"/>
      <w:numFmt w:val="lowerRoman"/>
      <w:lvlText w:val="%6."/>
      <w:lvlJc w:val="right"/>
      <w:pPr>
        <w:ind w:left="5400" w:hanging="180"/>
      </w:pPr>
    </w:lvl>
    <w:lvl w:ilvl="6" w:tplc="4BE4BA98" w:tentative="1">
      <w:start w:val="1"/>
      <w:numFmt w:val="decimal"/>
      <w:lvlText w:val="%7."/>
      <w:lvlJc w:val="left"/>
      <w:pPr>
        <w:ind w:left="6120" w:hanging="360"/>
      </w:pPr>
    </w:lvl>
    <w:lvl w:ilvl="7" w:tplc="F62ECD58" w:tentative="1">
      <w:start w:val="1"/>
      <w:numFmt w:val="lowerLetter"/>
      <w:lvlText w:val="%8."/>
      <w:lvlJc w:val="left"/>
      <w:pPr>
        <w:ind w:left="6840" w:hanging="360"/>
      </w:pPr>
    </w:lvl>
    <w:lvl w:ilvl="8" w:tplc="2C507A6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52316B"/>
    <w:multiLevelType w:val="hybridMultilevel"/>
    <w:tmpl w:val="96E0BD72"/>
    <w:lvl w:ilvl="0" w:tplc="6E74B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7C4D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AE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A4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85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E5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C6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86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8D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1229A"/>
    <w:multiLevelType w:val="hybridMultilevel"/>
    <w:tmpl w:val="951CDFE8"/>
    <w:lvl w:ilvl="0" w:tplc="E9BC6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300B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CD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86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A1A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E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88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A9A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62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B3DA5"/>
    <w:multiLevelType w:val="hybridMultilevel"/>
    <w:tmpl w:val="D57C7136"/>
    <w:lvl w:ilvl="0" w:tplc="C7328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4FE1520" w:tentative="1">
      <w:start w:val="1"/>
      <w:numFmt w:val="lowerLetter"/>
      <w:lvlText w:val="%2."/>
      <w:lvlJc w:val="left"/>
      <w:pPr>
        <w:ind w:left="2520" w:hanging="360"/>
      </w:pPr>
    </w:lvl>
    <w:lvl w:ilvl="2" w:tplc="C4105666" w:tentative="1">
      <w:start w:val="1"/>
      <w:numFmt w:val="lowerRoman"/>
      <w:lvlText w:val="%3."/>
      <w:lvlJc w:val="right"/>
      <w:pPr>
        <w:ind w:left="3240" w:hanging="180"/>
      </w:pPr>
    </w:lvl>
    <w:lvl w:ilvl="3" w:tplc="1E3E7B5E" w:tentative="1">
      <w:start w:val="1"/>
      <w:numFmt w:val="decimal"/>
      <w:lvlText w:val="%4."/>
      <w:lvlJc w:val="left"/>
      <w:pPr>
        <w:ind w:left="3960" w:hanging="360"/>
      </w:pPr>
    </w:lvl>
    <w:lvl w:ilvl="4" w:tplc="6AACA22A" w:tentative="1">
      <w:start w:val="1"/>
      <w:numFmt w:val="lowerLetter"/>
      <w:lvlText w:val="%5."/>
      <w:lvlJc w:val="left"/>
      <w:pPr>
        <w:ind w:left="4680" w:hanging="360"/>
      </w:pPr>
    </w:lvl>
    <w:lvl w:ilvl="5" w:tplc="8E8C0C4A" w:tentative="1">
      <w:start w:val="1"/>
      <w:numFmt w:val="lowerRoman"/>
      <w:lvlText w:val="%6."/>
      <w:lvlJc w:val="right"/>
      <w:pPr>
        <w:ind w:left="5400" w:hanging="180"/>
      </w:pPr>
    </w:lvl>
    <w:lvl w:ilvl="6" w:tplc="AF446272" w:tentative="1">
      <w:start w:val="1"/>
      <w:numFmt w:val="decimal"/>
      <w:lvlText w:val="%7."/>
      <w:lvlJc w:val="left"/>
      <w:pPr>
        <w:ind w:left="6120" w:hanging="360"/>
      </w:pPr>
    </w:lvl>
    <w:lvl w:ilvl="7" w:tplc="36BAFAFC" w:tentative="1">
      <w:start w:val="1"/>
      <w:numFmt w:val="lowerLetter"/>
      <w:lvlText w:val="%8."/>
      <w:lvlJc w:val="left"/>
      <w:pPr>
        <w:ind w:left="6840" w:hanging="360"/>
      </w:pPr>
    </w:lvl>
    <w:lvl w:ilvl="8" w:tplc="419449B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8"/>
    <w:rsid w:val="000625C8"/>
    <w:rsid w:val="00097F23"/>
    <w:rsid w:val="001736C9"/>
    <w:rsid w:val="003429C8"/>
    <w:rsid w:val="005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9D99-EAAB-4307-BEF4-178280EC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2</cp:revision>
  <cp:lastPrinted>2014-10-30T13:42:00Z</cp:lastPrinted>
  <dcterms:created xsi:type="dcterms:W3CDTF">2016-02-25T08:15:00Z</dcterms:created>
  <dcterms:modified xsi:type="dcterms:W3CDTF">2016-02-25T08:15:00Z</dcterms:modified>
</cp:coreProperties>
</file>